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1585" w14:textId="77777777" w:rsidR="00207405" w:rsidRPr="008307AD" w:rsidRDefault="00207405" w:rsidP="00207405">
      <w:pPr>
        <w:spacing w:after="0" w:line="240" w:lineRule="auto"/>
        <w:jc w:val="center"/>
        <w:rPr>
          <w:b/>
          <w:sz w:val="20"/>
          <w:szCs w:val="20"/>
        </w:rPr>
      </w:pPr>
      <w:r w:rsidRPr="008307AD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14:paraId="77C64F87" w14:textId="77777777" w:rsidR="00207405" w:rsidRPr="008307AD" w:rsidRDefault="00207405" w:rsidP="00207405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B96B93" w:rsidRPr="00D207BE" w14:paraId="5BBF8828" w14:textId="77777777" w:rsidTr="00EB372E">
        <w:tc>
          <w:tcPr>
            <w:tcW w:w="1980" w:type="dxa"/>
          </w:tcPr>
          <w:p w14:paraId="0DE5E170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14:paraId="47062EAC" w14:textId="77777777" w:rsidR="00207405" w:rsidRPr="00D207BE" w:rsidRDefault="00260305" w:rsidP="00EB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Νατσιάβας Παναγιώτης Φίλιππος</w:t>
            </w:r>
          </w:p>
        </w:tc>
        <w:tc>
          <w:tcPr>
            <w:tcW w:w="3112" w:type="dxa"/>
          </w:tcPr>
          <w:p w14:paraId="53396409" w14:textId="77777777" w:rsidR="00207405" w:rsidRPr="00D207BE" w:rsidRDefault="00B96B93" w:rsidP="00EB3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C970DE" wp14:editId="40184DB7">
                  <wp:extent cx="533400" cy="731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689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2" cy="73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05" w:rsidRPr="00D207BE" w14:paraId="0559A7BA" w14:textId="77777777" w:rsidTr="00EB372E">
        <w:tc>
          <w:tcPr>
            <w:tcW w:w="1980" w:type="dxa"/>
          </w:tcPr>
          <w:p w14:paraId="5DD74D08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14:paraId="27B31854" w14:textId="77777777" w:rsidR="00207405" w:rsidRDefault="00260305" w:rsidP="00EB3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Μηχανολόγος</w:t>
            </w:r>
            <w:r w:rsidR="00207405">
              <w:rPr>
                <w:sz w:val="20"/>
                <w:szCs w:val="20"/>
              </w:rPr>
              <w:t xml:space="preserve"> Μηχανικός –</w:t>
            </w:r>
            <w:r w:rsidR="00207405" w:rsidRPr="00D207BE">
              <w:rPr>
                <w:sz w:val="20"/>
                <w:szCs w:val="20"/>
              </w:rPr>
              <w:t xml:space="preserve"> </w:t>
            </w:r>
            <w:r w:rsidR="002A5497">
              <w:rPr>
                <w:sz w:val="20"/>
                <w:szCs w:val="20"/>
              </w:rPr>
              <w:t xml:space="preserve">Μεταδιδακτορικός </w:t>
            </w:r>
            <w:r w:rsidR="00207405">
              <w:rPr>
                <w:sz w:val="20"/>
                <w:szCs w:val="20"/>
              </w:rPr>
              <w:t xml:space="preserve">Συνεργάτης ΙΔΕΠ/ΕΚΕΤΑ </w:t>
            </w:r>
          </w:p>
          <w:p w14:paraId="1CB921FD" w14:textId="77777777" w:rsidR="00207405" w:rsidRPr="00B77B2C" w:rsidRDefault="00B77B2C" w:rsidP="00B77B2C">
            <w:pPr>
              <w:spacing w:line="19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664D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Εργαστήριο Ανάπτυξης Ολοκληρωμένων Συστημάτων &amp; Διεργασιών)</w:t>
            </w:r>
          </w:p>
        </w:tc>
      </w:tr>
      <w:tr w:rsidR="00207405" w:rsidRPr="00553F8A" w14:paraId="20335BA1" w14:textId="77777777" w:rsidTr="00EB372E">
        <w:tc>
          <w:tcPr>
            <w:tcW w:w="1980" w:type="dxa"/>
          </w:tcPr>
          <w:p w14:paraId="5B84429E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14:paraId="7BFC7C24" w14:textId="00A221BF" w:rsidR="00207405" w:rsidRPr="007B5C5E" w:rsidRDefault="00207405" w:rsidP="003D3A8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0" w:name="_Hlk527622244"/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Ο Δρ. </w:t>
            </w:r>
            <w:r w:rsidR="0095467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Παναγιώτης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5467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="0095467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Νατσιάβας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έλαβε το δίπλωμα του </w:t>
            </w:r>
            <w:r w:rsidR="0095467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Μηχανολόγου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Μηχανικού από το Αριστοτέλειο Πανεπιστήμιο Θεσσαλονίκης (ΑΠΘ) το 20</w:t>
            </w:r>
            <w:r w:rsidR="0095467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="00777B1F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777B1F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Μετά την αποφοίτη</w:t>
            </w:r>
            <w:r w:rsidR="004D12B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σή</w:t>
            </w:r>
            <w:r w:rsidR="00777B1F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συνέχισε τις σπουδές του</w:t>
            </w:r>
            <w:r w:rsidR="004D12B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20E0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στις Ηνωμένες Πολιτ</w:t>
            </w:r>
            <w:r w:rsidR="00A56C6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</w:t>
            </w:r>
            <w:r w:rsidR="00020E0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ίες της Αμερικής (Η.Π.Α) όπου τον Ιούνιο του 2013 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έλαβε μεταπτυχιακό τίτλο σπουδών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A303D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στο τμήμα μηχανολόγων μηχανικών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από το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</w:rPr>
              <w:t>California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</w:rPr>
              <w:t>Institute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</w:rPr>
              <w:t>CALTECH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56C6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Στο ίδιο πανεπιστήμιο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εκπόνησε την </w:t>
            </w:r>
            <w:r w:rsidR="00A56C6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διδακτορική του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διατριβή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 θέμα “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Stability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Electrode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Electrolyte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Interfaces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Charging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Lithium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</w:rPr>
              <w:t>Batteries</w:t>
            </w:r>
            <w:r w:rsidR="00095327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”</w:t>
            </w:r>
            <w:r w:rsidR="007358B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αναγορεύτηκε διδάκτορας</w:t>
            </w:r>
            <w:r w:rsidR="00BA303D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στο ίδιο τμήμα</w:t>
            </w:r>
            <w:r w:rsidR="007358B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τον Ιούνιο του 2016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Έπειτα</w:t>
            </w:r>
            <w:r w:rsidR="00BD040E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εργάστηκε ως μεταδιδακτορικός ερευνητής</w:t>
            </w:r>
            <w:r w:rsidR="006B3B1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D3A8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με θέμα </w:t>
            </w:r>
            <w:r w:rsidR="006B3B18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την ανάπτυξη υπολογιστικών μοντέλων υψηλής ευκρίνειας</w:t>
            </w:r>
            <w:r w:rsidR="003D3A8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για την προσομ</w:t>
            </w:r>
            <w:r w:rsidR="00FD72F4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</w:t>
            </w:r>
            <w:r w:rsidR="003D3A86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ίωση θραύσης στο γυαλί κάτω από ισχυρές φορτίσεις 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στο 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Massachusetts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Ins</w:t>
            </w:r>
            <w:r w:rsidR="007C00F7" w:rsidRPr="007B5C5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itute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</w:rPr>
              <w:t>MIT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  <w:r w:rsidR="001C6C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για έναν χρόνο</w:t>
            </w:r>
            <w:r w:rsidR="008804A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Από τον </w:t>
            </w:r>
            <w:r w:rsidR="00AC2E1B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Ιανουάριο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20</w:t>
            </w:r>
            <w:r w:rsidR="00AC2E1B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18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εργάζετ</w:t>
            </w:r>
            <w:r w:rsidR="008A5D8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αι 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ως </w:t>
            </w:r>
            <w:r w:rsidR="00AC2E1B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μεταδιδακτορικός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BD040E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συνεργάτης</w:t>
            </w:r>
            <w:r w:rsidR="00AC2E1B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στο Ινστιτούτο Διεργασιών &amp; Ενεργειακών Πόρων του Εθνικού Κέντρου Έρευνας και Τεχνολογικής</w:t>
            </w:r>
            <w:r w:rsidR="00B1739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Ανάπτυξης (ΕΚΕΤΑ)</w:t>
            </w:r>
            <w:r w:rsidR="009F3E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έδρα</w:t>
            </w:r>
            <w:r w:rsidR="001C6C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F3E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</w:t>
            </w:r>
            <w:r w:rsidR="001C6C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</w:t>
            </w:r>
            <w:r w:rsidR="009F3E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</w:t>
            </w:r>
            <w:r w:rsidR="001C6C65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Θεσσαλονίκη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επιστημονικ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</w:t>
            </w:r>
            <w:r w:rsidR="00432D73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ενδιαφέροντα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συνοψίζονται α) στη </w:t>
            </w:r>
            <w:proofErr w:type="spellStart"/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μοντελοποίηση</w:t>
            </w:r>
            <w:proofErr w:type="spellEnd"/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προσομοίωση ολοκληρωμένων συστημάτων διεργασιών</w:t>
            </w:r>
            <w:r w:rsidR="002F305F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για τη δέσμευση διοξειδίου του άνθρακα</w:t>
            </w:r>
            <w:r w:rsidR="00C97B1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</w:t>
            </w:r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β) στην ανάπτυξη, στον σχεδιασμό και έλεγχο συστημάτων, γ) στην βελτίωση και τεχνοοικονομική ανάλυση διεργασιών</w:t>
            </w:r>
            <w:r w:rsidR="007974B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και δ) </w:t>
            </w:r>
            <w:r w:rsidR="00CF1E62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στην </w:t>
            </w:r>
            <w:r w:rsidR="007974BA"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υψηλή επίδοση υπολογιστικών συστημάτων</w:t>
            </w:r>
            <w:bookmarkEnd w:id="0"/>
            <w:r w:rsidRPr="007B5C5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</w:p>
        </w:tc>
      </w:tr>
      <w:tr w:rsidR="00B96B93" w:rsidRPr="00777B1F" w14:paraId="7A5BBB36" w14:textId="77777777" w:rsidTr="00EB372E">
        <w:tc>
          <w:tcPr>
            <w:tcW w:w="1980" w:type="dxa"/>
          </w:tcPr>
          <w:p w14:paraId="6D4EEE5A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14:paraId="081ADBC0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14:paraId="096CFB57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14:paraId="6F501E8D" w14:textId="6A85261A" w:rsidR="00B419F2" w:rsidRPr="00B419F2" w:rsidRDefault="00B419F2" w:rsidP="00B419F2">
            <w:pPr>
              <w:pStyle w:val="ListParagraph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419F2">
              <w:rPr>
                <w:rFonts w:cstheme="minorHAnsi"/>
                <w:sz w:val="20"/>
                <w:szCs w:val="20"/>
                <w:u w:val="single"/>
                <w:lang w:val="en-US"/>
              </w:rPr>
              <w:t>P.P. Natsiavas</w:t>
            </w:r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, K. Weinberg, D. </w:t>
            </w:r>
            <w:proofErr w:type="spellStart"/>
            <w:r w:rsidRPr="00B419F2">
              <w:rPr>
                <w:rFonts w:cstheme="minorHAnsi"/>
                <w:sz w:val="20"/>
                <w:szCs w:val="20"/>
                <w:lang w:val="en-US"/>
              </w:rPr>
              <w:t>Rosato</w:t>
            </w:r>
            <w:proofErr w:type="spellEnd"/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, M. Ortiz, </w:t>
            </w:r>
            <w:r w:rsidRPr="00B419F2">
              <w:rPr>
                <w:rFonts w:cstheme="minorHAnsi"/>
                <w:i/>
                <w:iCs/>
                <w:sz w:val="20"/>
                <w:szCs w:val="20"/>
                <w:lang w:val="en-US"/>
              </w:rPr>
              <w:t>“Effect of Prestress on the Stability of Electrode-Electrolyte Interfaces during Charging in Lithium Batteries”</w:t>
            </w:r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B419F2">
              <w:rPr>
                <w:rFonts w:cstheme="minorHAnsi"/>
                <w:i/>
                <w:iCs/>
                <w:sz w:val="20"/>
                <w:szCs w:val="20"/>
                <w:lang w:val="en-US"/>
              </w:rPr>
              <w:t>Journal of the Mechanics and Physics of Solids, Vol. 95, pp. 92 – 111, 2016</w:t>
            </w:r>
          </w:p>
          <w:p w14:paraId="7F5DC119" w14:textId="77777777" w:rsidR="0065098E" w:rsidRPr="0065098E" w:rsidRDefault="00B419F2" w:rsidP="0065098E">
            <w:pPr>
              <w:pStyle w:val="ListParagraph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Kerstin Weinberg, </w:t>
            </w:r>
            <w:r w:rsidRPr="0065098E">
              <w:rPr>
                <w:rFonts w:cstheme="minorHAnsi"/>
                <w:sz w:val="20"/>
                <w:szCs w:val="20"/>
                <w:u w:val="single"/>
                <w:lang w:val="en-US"/>
              </w:rPr>
              <w:t>Panagiotis Natsiavas</w:t>
            </w:r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, Marek Werner, Michael Ortiz, </w:t>
            </w:r>
            <w:r w:rsidRPr="00B419F2">
              <w:rPr>
                <w:rFonts w:cstheme="minorHAnsi"/>
                <w:i/>
                <w:iCs/>
                <w:sz w:val="20"/>
                <w:szCs w:val="20"/>
                <w:lang w:val="en-US"/>
              </w:rPr>
              <w:t>“Stability of the Solid-Electrolyte Interface in Solid-Lithium Batteries”</w:t>
            </w:r>
            <w:r w:rsidRPr="00B419F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B419F2">
              <w:rPr>
                <w:rFonts w:cstheme="minorHAnsi"/>
                <w:bCs/>
                <w:sz w:val="20"/>
                <w:szCs w:val="20"/>
                <w:lang w:val="en-US"/>
              </w:rPr>
              <w:t>9</w:t>
            </w:r>
            <w:r w:rsidRPr="00B419F2">
              <w:rPr>
                <w:rFonts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B419F2">
              <w:rPr>
                <w:rFonts w:cstheme="minorHAnsi"/>
                <w:bCs/>
                <w:sz w:val="20"/>
                <w:szCs w:val="20"/>
                <w:lang w:val="en-US"/>
              </w:rPr>
              <w:t xml:space="preserve"> European Solid Mechanics Conference (ESMC)</w:t>
            </w:r>
            <w:r w:rsidRPr="00B419F2">
              <w:rPr>
                <w:rFonts w:cstheme="minorHAnsi"/>
                <w:sz w:val="20"/>
                <w:szCs w:val="20"/>
                <w:lang w:val="en-US"/>
              </w:rPr>
              <w:t>, Madrid, Spain, 2015</w:t>
            </w:r>
          </w:p>
          <w:p w14:paraId="2B4AAFAD" w14:textId="44CBADD2" w:rsidR="0065098E" w:rsidRPr="0065098E" w:rsidRDefault="0065098E" w:rsidP="0065098E">
            <w:pPr>
              <w:pStyle w:val="ListParagraph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5098E">
              <w:rPr>
                <w:rFonts w:cstheme="minorHAnsi"/>
                <w:sz w:val="20"/>
                <w:szCs w:val="20"/>
                <w:lang w:val="en-US"/>
              </w:rPr>
              <w:t>Kerstin Weinberg,</w:t>
            </w:r>
            <w:r w:rsidR="00184E9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5098E">
              <w:rPr>
                <w:rFonts w:cstheme="minorHAnsi"/>
                <w:sz w:val="20"/>
                <w:szCs w:val="20"/>
                <w:u w:val="single"/>
                <w:lang w:val="en-US"/>
              </w:rPr>
              <w:t>Panagiotis Natsiavas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Michael Ortiz, </w:t>
            </w:r>
            <w:r w:rsidRPr="0065098E">
              <w:rPr>
                <w:rFonts w:cstheme="minorHAnsi"/>
                <w:i/>
                <w:iCs/>
                <w:sz w:val="20"/>
                <w:szCs w:val="20"/>
                <w:lang w:val="en-US"/>
              </w:rPr>
              <w:t>“Innovative numerical approaches for multi-physics problems”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5098E">
              <w:rPr>
                <w:rFonts w:cstheme="minorHAnsi"/>
                <w:bCs/>
                <w:sz w:val="20"/>
                <w:szCs w:val="20"/>
                <w:lang w:val="en-US"/>
              </w:rPr>
              <w:t>VII European Congress on Computational Methods in Applied Sciences and Engineering (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>ECCOMAS Congress), Crete Island, Greece, 2016</w:t>
            </w:r>
          </w:p>
          <w:p w14:paraId="26018177" w14:textId="7C860A68" w:rsidR="0065098E" w:rsidRPr="0065098E" w:rsidRDefault="0065098E" w:rsidP="0065098E">
            <w:pPr>
              <w:pStyle w:val="ListParagraph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5098E">
              <w:rPr>
                <w:rFonts w:cstheme="minorHAnsi"/>
                <w:sz w:val="20"/>
                <w:szCs w:val="20"/>
                <w:u w:val="single"/>
                <w:lang w:val="en-US"/>
              </w:rPr>
              <w:t>Panagiotis Natsiavas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Raul </w:t>
            </w:r>
            <w:proofErr w:type="spellStart"/>
            <w:r w:rsidRPr="0065098E">
              <w:rPr>
                <w:rFonts w:cstheme="minorHAnsi"/>
                <w:sz w:val="20"/>
                <w:szCs w:val="20"/>
                <w:lang w:val="en-US"/>
              </w:rPr>
              <w:t>Radovitzky</w:t>
            </w:r>
            <w:proofErr w:type="spellEnd"/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5098E">
              <w:rPr>
                <w:rFonts w:cstheme="minorHAnsi"/>
                <w:i/>
                <w:iCs/>
                <w:sz w:val="20"/>
                <w:szCs w:val="20"/>
                <w:lang w:val="en-US"/>
              </w:rPr>
              <w:t>“Direct measurement and modeling of glass under shock loading”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>, Society of Engineering Science 53</w:t>
            </w:r>
            <w:r w:rsidRPr="0065098E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 Annual Technical Meeting, University of Maryland, USA, 2016</w:t>
            </w:r>
          </w:p>
          <w:p w14:paraId="560E36DE" w14:textId="6B587A16" w:rsidR="00207405" w:rsidRPr="0065098E" w:rsidRDefault="0065098E" w:rsidP="00EB372E">
            <w:pPr>
              <w:pStyle w:val="ListParagraph"/>
              <w:numPr>
                <w:ilvl w:val="0"/>
                <w:numId w:val="61"/>
              </w:num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65098E">
              <w:rPr>
                <w:rFonts w:cstheme="minorHAnsi"/>
                <w:sz w:val="20"/>
                <w:szCs w:val="20"/>
                <w:lang w:val="en-US"/>
              </w:rPr>
              <w:t>Veysset</w:t>
            </w:r>
            <w:proofErr w:type="spellEnd"/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A44EBD">
              <w:rPr>
                <w:rFonts w:cstheme="minorHAnsi"/>
                <w:sz w:val="20"/>
                <w:szCs w:val="20"/>
                <w:u w:val="single"/>
                <w:lang w:val="en-US"/>
              </w:rPr>
              <w:t>P.P. Natsiavas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K.A. Nelson, R. </w:t>
            </w:r>
            <w:proofErr w:type="spellStart"/>
            <w:r w:rsidRPr="0065098E">
              <w:rPr>
                <w:rFonts w:cstheme="minorHAnsi"/>
                <w:sz w:val="20"/>
                <w:szCs w:val="20"/>
                <w:lang w:val="en-US"/>
              </w:rPr>
              <w:t>Radovitzky</w:t>
            </w:r>
            <w:proofErr w:type="spellEnd"/>
            <w:r w:rsidRPr="0065098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5098E">
              <w:rPr>
                <w:rFonts w:cstheme="minorHAnsi"/>
                <w:i/>
                <w:iCs/>
                <w:sz w:val="20"/>
                <w:szCs w:val="20"/>
                <w:lang w:val="en-US"/>
              </w:rPr>
              <w:t>“Non-linear propagation of focusing surface acoustic waves on glass”</w:t>
            </w:r>
            <w:r w:rsidRPr="0065098E">
              <w:rPr>
                <w:rFonts w:cstheme="minorHAnsi"/>
                <w:sz w:val="20"/>
                <w:szCs w:val="20"/>
                <w:lang w:val="en-US"/>
              </w:rPr>
              <w:t>, Physical Review Letters (in preparation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207405" w:rsidRPr="00B07897" w14:paraId="2CB11869" w14:textId="77777777" w:rsidTr="00EB372E">
        <w:tc>
          <w:tcPr>
            <w:tcW w:w="1980" w:type="dxa"/>
          </w:tcPr>
          <w:p w14:paraId="2C29FB48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14:paraId="6199CBF3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14:paraId="64321E77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14:paraId="71C7985D" w14:textId="4AA56F2D" w:rsidR="00207405" w:rsidRPr="007B5C5E" w:rsidRDefault="007B5C5E" w:rsidP="007B5C5E">
            <w:pPr>
              <w:pStyle w:val="ListParagraph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7B5C5E">
              <w:rPr>
                <w:rFonts w:cstheme="minorHAnsi"/>
                <w:color w:val="000000"/>
                <w:sz w:val="20"/>
                <w:szCs w:val="20"/>
              </w:rPr>
              <w:t>“</w:t>
            </w:r>
            <w:r w:rsidRPr="007B5C5E">
              <w:rPr>
                <w:rFonts w:cstheme="minorHAnsi"/>
                <w:bCs/>
                <w:color w:val="000000"/>
                <w:sz w:val="20"/>
                <w:szCs w:val="20"/>
              </w:rPr>
              <w:t>Ανάπτυξη και Πειραματική Αξιολόγηση Μονάδας Ηλεκτροχημικού Καθαρισμού Υγρών Αποβλήτων Βιομηχανίας Χημικών Συσσωρευτών για Ανάκτηση Πολύτιμων Ιόντων προς Επαναχρησιμοποίηση στην Παραγωγή και Διάθεση του Νερού για Γεωργική Χρήση</w:t>
            </w:r>
            <w:r w:rsidRPr="007B5C5E">
              <w:rPr>
                <w:rFonts w:cstheme="minorHAnsi"/>
                <w:bCs/>
                <w:color w:val="000000"/>
                <w:sz w:val="20"/>
                <w:szCs w:val="20"/>
              </w:rPr>
              <w:t>”</w:t>
            </w:r>
            <w:r w:rsidR="00207405" w:rsidRPr="007B5C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5C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– «</w:t>
            </w:r>
            <w:r w:rsidRPr="007B5C5E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ELECTRACCUM</w:t>
            </w:r>
            <w:r w:rsidRPr="007B5C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»,</w:t>
            </w:r>
            <w:r w:rsidR="00207405" w:rsidRPr="007B5C5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Φορέας Υλοποίησης ΕΚΕΤΑ/ΙΔΕΠ</w:t>
            </w:r>
          </w:p>
          <w:p w14:paraId="112D1F86" w14:textId="02B203B9" w:rsidR="00207405" w:rsidRPr="00F30AEB" w:rsidRDefault="00207405" w:rsidP="00EB372E">
            <w:pPr>
              <w:pStyle w:val="ListParagraph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“</w:t>
            </w:r>
            <w:r w:rsidR="00E349B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Enhancing Programmability </w:t>
            </w:r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and boosting </w:t>
            </w:r>
            <w:proofErr w:type="spellStart"/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Perfomance</w:t>
            </w:r>
            <w:proofErr w:type="spellEnd"/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Portability for </w:t>
            </w:r>
            <w:proofErr w:type="spellStart"/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Exascale</w:t>
            </w:r>
            <w:proofErr w:type="spellEnd"/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Computing Systems” – </w:t>
            </w:r>
            <w:r w:rsidR="00EF6AC1" w:rsidRP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«</w:t>
            </w:r>
            <w:r w:rsid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EXA2PRO</w:t>
            </w:r>
            <w:r w:rsidR="00EF6AC1" w:rsidRPr="00EF6AC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»,</w:t>
            </w:r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Φορέ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 xml:space="preserve">ας </w:t>
            </w:r>
            <w:proofErr w:type="spellStart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Υλο</w:t>
            </w:r>
            <w:proofErr w:type="spellEnd"/>
            <w:r w:rsidRPr="00F30AE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ποίησης ΕΚΕΤΑ/ΙΔΕΠ.</w:t>
            </w:r>
          </w:p>
          <w:p w14:paraId="3A1F08A3" w14:textId="77777777" w:rsidR="00207405" w:rsidRPr="00B07897" w:rsidRDefault="00B07897" w:rsidP="00EB372E">
            <w:pPr>
              <w:pStyle w:val="ListParagraph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“</w:t>
            </w:r>
            <w:r w:rsidRPr="00B07897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Direct Measurement and Modeling of Glass under Shock Loading” – Office of Naval Research, Massachusetts Institute of Technology</w:t>
            </w:r>
          </w:p>
          <w:p w14:paraId="4282BD9D" w14:textId="48E97A12" w:rsidR="00B07897" w:rsidRPr="00B07897" w:rsidRDefault="00B07897" w:rsidP="00EB372E">
            <w:pPr>
              <w:pStyle w:val="ListParagraph"/>
              <w:numPr>
                <w:ilvl w:val="0"/>
                <w:numId w:val="62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Effect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of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prestress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on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the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stability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of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electrode–electrolyte interfaces during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charging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in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lithium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batteries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”, </w:t>
            </w:r>
            <w:r w:rsidRPr="00B07897">
              <w:rPr>
                <w:rFonts w:cstheme="minorHAnsi"/>
                <w:sz w:val="20"/>
                <w:szCs w:val="20"/>
                <w:lang w:val="en-US"/>
              </w:rPr>
              <w:t>Robert Bosch GmbH through the Bosch Energy Research Network (BERN) Project no.: 07-15-CS13</w:t>
            </w:r>
            <w:r>
              <w:rPr>
                <w:rFonts w:cstheme="minorHAnsi"/>
                <w:sz w:val="20"/>
                <w:szCs w:val="20"/>
                <w:lang w:val="en-US"/>
              </w:rPr>
              <w:t>, California Institute of Technology</w:t>
            </w:r>
            <w:bookmarkStart w:id="1" w:name="_GoBack"/>
            <w:bookmarkEnd w:id="1"/>
          </w:p>
        </w:tc>
      </w:tr>
      <w:tr w:rsidR="00207405" w:rsidRPr="00804515" w14:paraId="09B9B450" w14:textId="77777777" w:rsidTr="00207405">
        <w:trPr>
          <w:trHeight w:val="271"/>
        </w:trPr>
        <w:tc>
          <w:tcPr>
            <w:tcW w:w="1980" w:type="dxa"/>
          </w:tcPr>
          <w:p w14:paraId="21024EF6" w14:textId="77777777" w:rsidR="00207405" w:rsidRPr="00D207BE" w:rsidRDefault="00207405" w:rsidP="00EB372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</w:tcPr>
          <w:p w14:paraId="709BEC89" w14:textId="163E5973" w:rsidR="00207405" w:rsidRDefault="00207405" w:rsidP="00EB372E">
            <w:pPr>
              <w:pStyle w:val="ListParagraph"/>
              <w:numPr>
                <w:ilvl w:val="0"/>
                <w:numId w:val="6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04515">
              <w:rPr>
                <w:sz w:val="20"/>
                <w:szCs w:val="20"/>
              </w:rPr>
              <w:t xml:space="preserve">Υποτροφία Αριστείας για </w:t>
            </w:r>
            <w:r w:rsidR="00C83D95">
              <w:rPr>
                <w:sz w:val="20"/>
                <w:szCs w:val="20"/>
              </w:rPr>
              <w:t xml:space="preserve">διδασκαλία από </w:t>
            </w:r>
            <w:r w:rsidR="00EF56D3">
              <w:rPr>
                <w:sz w:val="20"/>
                <w:szCs w:val="20"/>
              </w:rPr>
              <w:t xml:space="preserve">το </w:t>
            </w:r>
            <w:r w:rsidR="00C83D95">
              <w:rPr>
                <w:sz w:val="20"/>
                <w:szCs w:val="20"/>
                <w:lang w:val="en-US"/>
              </w:rPr>
              <w:t>CALTECH</w:t>
            </w:r>
            <w:r>
              <w:rPr>
                <w:sz w:val="20"/>
                <w:szCs w:val="20"/>
              </w:rPr>
              <w:t xml:space="preserve"> (201</w:t>
            </w:r>
            <w:r w:rsidR="00C83D95" w:rsidRPr="005173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</w:t>
            </w:r>
            <w:r w:rsidRPr="00804515">
              <w:rPr>
                <w:sz w:val="20"/>
                <w:szCs w:val="20"/>
              </w:rPr>
              <w:t xml:space="preserve"> </w:t>
            </w:r>
          </w:p>
          <w:p w14:paraId="28CE3450" w14:textId="193F91FA" w:rsidR="00207405" w:rsidRPr="00804515" w:rsidRDefault="00207405" w:rsidP="00EB372E">
            <w:pPr>
              <w:pStyle w:val="ListParagraph"/>
              <w:numPr>
                <w:ilvl w:val="0"/>
                <w:numId w:val="6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804515">
              <w:rPr>
                <w:sz w:val="20"/>
                <w:szCs w:val="20"/>
              </w:rPr>
              <w:t>Προπτυχιακές Υποτροφίες από ΙΚΥ (200</w:t>
            </w:r>
            <w:r w:rsidR="00C83D95">
              <w:rPr>
                <w:sz w:val="20"/>
                <w:szCs w:val="20"/>
              </w:rPr>
              <w:t>7</w:t>
            </w:r>
            <w:r w:rsidRPr="00804515">
              <w:rPr>
                <w:sz w:val="20"/>
                <w:szCs w:val="20"/>
              </w:rPr>
              <w:t>-20</w:t>
            </w:r>
            <w:r w:rsidR="00C83D95">
              <w:rPr>
                <w:sz w:val="20"/>
                <w:szCs w:val="20"/>
              </w:rPr>
              <w:t>12</w:t>
            </w:r>
            <w:r w:rsidRPr="00804515">
              <w:rPr>
                <w:sz w:val="20"/>
                <w:szCs w:val="20"/>
              </w:rPr>
              <w:t xml:space="preserve">)  </w:t>
            </w:r>
          </w:p>
        </w:tc>
      </w:tr>
    </w:tbl>
    <w:p w14:paraId="34470CF9" w14:textId="77777777" w:rsidR="00172071" w:rsidRPr="00207405" w:rsidRDefault="00172071" w:rsidP="00207405">
      <w:pPr>
        <w:rPr>
          <w:b/>
        </w:rPr>
      </w:pPr>
    </w:p>
    <w:sectPr w:rsidR="00172071" w:rsidRPr="00207405" w:rsidSect="0075310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E4D37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A7308"/>
    <w:multiLevelType w:val="hybridMultilevel"/>
    <w:tmpl w:val="B3009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7" w15:restartNumberingAfterBreak="0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2" w15:restartNumberingAfterBreak="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7" w15:restartNumberingAfterBreak="0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 w15:restartNumberingAfterBreak="0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 w15:restartNumberingAfterBreak="0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 w15:restartNumberingAfterBreak="0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165E6"/>
    <w:multiLevelType w:val="hybridMultilevel"/>
    <w:tmpl w:val="D2A8F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 w15:restartNumberingAfterBreak="0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2" w15:restartNumberingAfterBreak="0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"/>
  </w:num>
  <w:num w:numId="3">
    <w:abstractNumId w:val="18"/>
  </w:num>
  <w:num w:numId="4">
    <w:abstractNumId w:val="57"/>
  </w:num>
  <w:num w:numId="5">
    <w:abstractNumId w:val="26"/>
  </w:num>
  <w:num w:numId="6">
    <w:abstractNumId w:val="35"/>
  </w:num>
  <w:num w:numId="7">
    <w:abstractNumId w:val="31"/>
  </w:num>
  <w:num w:numId="8">
    <w:abstractNumId w:val="28"/>
  </w:num>
  <w:num w:numId="9">
    <w:abstractNumId w:val="1"/>
  </w:num>
  <w:num w:numId="10">
    <w:abstractNumId w:val="6"/>
  </w:num>
  <w:num w:numId="11">
    <w:abstractNumId w:val="40"/>
  </w:num>
  <w:num w:numId="12">
    <w:abstractNumId w:val="32"/>
  </w:num>
  <w:num w:numId="13">
    <w:abstractNumId w:val="34"/>
  </w:num>
  <w:num w:numId="14">
    <w:abstractNumId w:val="25"/>
  </w:num>
  <w:num w:numId="15">
    <w:abstractNumId w:val="13"/>
  </w:num>
  <w:num w:numId="16">
    <w:abstractNumId w:val="36"/>
  </w:num>
  <w:num w:numId="17">
    <w:abstractNumId w:val="33"/>
  </w:num>
  <w:num w:numId="18">
    <w:abstractNumId w:val="19"/>
  </w:num>
  <w:num w:numId="19">
    <w:abstractNumId w:val="22"/>
  </w:num>
  <w:num w:numId="20">
    <w:abstractNumId w:val="54"/>
  </w:num>
  <w:num w:numId="21">
    <w:abstractNumId w:val="30"/>
  </w:num>
  <w:num w:numId="22">
    <w:abstractNumId w:val="41"/>
  </w:num>
  <w:num w:numId="23">
    <w:abstractNumId w:val="42"/>
  </w:num>
  <w:num w:numId="24">
    <w:abstractNumId w:val="11"/>
  </w:num>
  <w:num w:numId="25">
    <w:abstractNumId w:val="50"/>
  </w:num>
  <w:num w:numId="26">
    <w:abstractNumId w:val="14"/>
  </w:num>
  <w:num w:numId="27">
    <w:abstractNumId w:val="52"/>
  </w:num>
  <w:num w:numId="28">
    <w:abstractNumId w:val="45"/>
  </w:num>
  <w:num w:numId="29">
    <w:abstractNumId w:val="37"/>
  </w:num>
  <w:num w:numId="30">
    <w:abstractNumId w:val="49"/>
  </w:num>
  <w:num w:numId="31">
    <w:abstractNumId w:val="12"/>
  </w:num>
  <w:num w:numId="32">
    <w:abstractNumId w:val="3"/>
  </w:num>
  <w:num w:numId="33">
    <w:abstractNumId w:val="62"/>
  </w:num>
  <w:num w:numId="34">
    <w:abstractNumId w:val="7"/>
  </w:num>
  <w:num w:numId="35">
    <w:abstractNumId w:val="55"/>
  </w:num>
  <w:num w:numId="36">
    <w:abstractNumId w:val="27"/>
  </w:num>
  <w:num w:numId="37">
    <w:abstractNumId w:val="5"/>
  </w:num>
  <w:num w:numId="38">
    <w:abstractNumId w:val="43"/>
  </w:num>
  <w:num w:numId="39">
    <w:abstractNumId w:val="58"/>
  </w:num>
  <w:num w:numId="40">
    <w:abstractNumId w:val="10"/>
  </w:num>
  <w:num w:numId="41">
    <w:abstractNumId w:val="23"/>
  </w:num>
  <w:num w:numId="42">
    <w:abstractNumId w:val="17"/>
  </w:num>
  <w:num w:numId="43">
    <w:abstractNumId w:val="59"/>
  </w:num>
  <w:num w:numId="44">
    <w:abstractNumId w:val="21"/>
  </w:num>
  <w:num w:numId="45">
    <w:abstractNumId w:val="46"/>
  </w:num>
  <w:num w:numId="46">
    <w:abstractNumId w:val="0"/>
  </w:num>
  <w:num w:numId="47">
    <w:abstractNumId w:val="16"/>
  </w:num>
  <w:num w:numId="48">
    <w:abstractNumId w:val="38"/>
  </w:num>
  <w:num w:numId="49">
    <w:abstractNumId w:val="39"/>
  </w:num>
  <w:num w:numId="50">
    <w:abstractNumId w:val="48"/>
  </w:num>
  <w:num w:numId="51">
    <w:abstractNumId w:val="47"/>
  </w:num>
  <w:num w:numId="52">
    <w:abstractNumId w:val="61"/>
  </w:num>
  <w:num w:numId="53">
    <w:abstractNumId w:val="53"/>
  </w:num>
  <w:num w:numId="54">
    <w:abstractNumId w:val="15"/>
  </w:num>
  <w:num w:numId="55">
    <w:abstractNumId w:val="9"/>
  </w:num>
  <w:num w:numId="56">
    <w:abstractNumId w:val="29"/>
  </w:num>
  <w:num w:numId="57">
    <w:abstractNumId w:val="44"/>
  </w:num>
  <w:num w:numId="58">
    <w:abstractNumId w:val="8"/>
  </w:num>
  <w:num w:numId="59">
    <w:abstractNumId w:val="60"/>
  </w:num>
  <w:num w:numId="60">
    <w:abstractNumId w:val="2"/>
  </w:num>
  <w:num w:numId="61">
    <w:abstractNumId w:val="56"/>
  </w:num>
  <w:num w:numId="62">
    <w:abstractNumId w:val="24"/>
  </w:num>
  <w:num w:numId="63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0E08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27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3D65"/>
    <w:rsid w:val="00154243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4E96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61C4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6C65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405"/>
    <w:rsid w:val="002075A9"/>
    <w:rsid w:val="002077FB"/>
    <w:rsid w:val="00207B86"/>
    <w:rsid w:val="002101BF"/>
    <w:rsid w:val="00210F3A"/>
    <w:rsid w:val="0021132A"/>
    <w:rsid w:val="00211338"/>
    <w:rsid w:val="00212284"/>
    <w:rsid w:val="00212745"/>
    <w:rsid w:val="002128B8"/>
    <w:rsid w:val="00212C7E"/>
    <w:rsid w:val="00212EBD"/>
    <w:rsid w:val="002132D4"/>
    <w:rsid w:val="002141BA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305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094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497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05F"/>
    <w:rsid w:val="002F354D"/>
    <w:rsid w:val="002F3790"/>
    <w:rsid w:val="002F4118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7F1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19E3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378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3A86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2D73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2B6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903"/>
    <w:rsid w:val="0051734A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3F8A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64E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B6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25D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17B48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98E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4D11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3B18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5C4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8B8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10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9BF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1F"/>
    <w:rsid w:val="00777BD3"/>
    <w:rsid w:val="00777F6C"/>
    <w:rsid w:val="00780445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4BA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5C5E"/>
    <w:rsid w:val="007B695C"/>
    <w:rsid w:val="007B6FAA"/>
    <w:rsid w:val="007B7875"/>
    <w:rsid w:val="007B7B22"/>
    <w:rsid w:val="007B7D12"/>
    <w:rsid w:val="007C00F7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5E64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515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27E27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4A2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5D82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3F3A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676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09D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6D3B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3E65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4EBD"/>
    <w:rsid w:val="00A45C33"/>
    <w:rsid w:val="00A45DA6"/>
    <w:rsid w:val="00A465F8"/>
    <w:rsid w:val="00A46D3E"/>
    <w:rsid w:val="00A51468"/>
    <w:rsid w:val="00A51499"/>
    <w:rsid w:val="00A51CF6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6C6A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2E1B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897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1739A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19F2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41C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B2C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6B93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3D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5CD"/>
    <w:rsid w:val="00BC5AA3"/>
    <w:rsid w:val="00BC5BBF"/>
    <w:rsid w:val="00BC642D"/>
    <w:rsid w:val="00BD0070"/>
    <w:rsid w:val="00BD0164"/>
    <w:rsid w:val="00BD040E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8B5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3D95"/>
    <w:rsid w:val="00C85321"/>
    <w:rsid w:val="00C85460"/>
    <w:rsid w:val="00C8548B"/>
    <w:rsid w:val="00C8580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B12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0EAF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1E62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475"/>
    <w:rsid w:val="00D718F6"/>
    <w:rsid w:val="00D73B31"/>
    <w:rsid w:val="00D73D84"/>
    <w:rsid w:val="00D73F63"/>
    <w:rsid w:val="00D74409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5D2F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9B0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77BD4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5DEE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6D3"/>
    <w:rsid w:val="00EF5CA1"/>
    <w:rsid w:val="00EF6395"/>
    <w:rsid w:val="00EF68ED"/>
    <w:rsid w:val="00EF6AC1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AEB"/>
    <w:rsid w:val="00F30B14"/>
    <w:rsid w:val="00F30E68"/>
    <w:rsid w:val="00F315D6"/>
    <w:rsid w:val="00F3230F"/>
    <w:rsid w:val="00F32789"/>
    <w:rsid w:val="00F32C3D"/>
    <w:rsid w:val="00F32CA1"/>
    <w:rsid w:val="00F32DDB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8F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2F4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8A7"/>
  <w15:docId w15:val="{31C112C1-FE4C-4409-9665-719F1EB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E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DefaultParagraphFont"/>
    <w:rsid w:val="00C8204A"/>
  </w:style>
  <w:style w:type="character" w:customStyle="1" w:styleId="hit">
    <w:name w:val="hit"/>
    <w:basedOn w:val="DefaultParagraphFont"/>
    <w:rsid w:val="00C8204A"/>
  </w:style>
  <w:style w:type="character" w:customStyle="1" w:styleId="A1">
    <w:name w:val="A1"/>
    <w:uiPriority w:val="99"/>
    <w:rsid w:val="00C8204A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820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9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EE17-84DF-4D99-812D-1C93D54A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Natsiavas Panagiotis</cp:lastModifiedBy>
  <cp:revision>43</cp:revision>
  <dcterms:created xsi:type="dcterms:W3CDTF">2018-10-17T12:46:00Z</dcterms:created>
  <dcterms:modified xsi:type="dcterms:W3CDTF">2018-10-18T08:16:00Z</dcterms:modified>
</cp:coreProperties>
</file>