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05" w:rsidRPr="008307AD" w:rsidRDefault="00207405" w:rsidP="00207405">
      <w:pPr>
        <w:spacing w:after="0" w:line="240" w:lineRule="auto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207405" w:rsidRPr="008307AD" w:rsidRDefault="00207405" w:rsidP="00207405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980"/>
        <w:gridCol w:w="4536"/>
        <w:gridCol w:w="3112"/>
      </w:tblGrid>
      <w:tr w:rsidR="00207405" w:rsidRPr="00D207BE" w:rsidTr="00EB372E"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207405" w:rsidRPr="00D207BE" w:rsidRDefault="00207405" w:rsidP="00EB37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Ιψάκης</w:t>
            </w:r>
            <w:proofErr w:type="spellEnd"/>
            <w:r>
              <w:rPr>
                <w:sz w:val="20"/>
                <w:szCs w:val="20"/>
              </w:rPr>
              <w:t xml:space="preserve"> Δημήτριος</w:t>
            </w:r>
          </w:p>
        </w:tc>
        <w:tc>
          <w:tcPr>
            <w:tcW w:w="3112" w:type="dxa"/>
          </w:tcPr>
          <w:p w:rsidR="00207405" w:rsidRPr="00D207BE" w:rsidRDefault="00207405" w:rsidP="00EB3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86662"/>
                  <wp:effectExtent l="0" t="0" r="0" b="0"/>
                  <wp:docPr id="1" name="Picture 1" descr="Z:\2016_EKETA\Application-Theseis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2016_EKETA\Application-Theseis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44" cy="78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05" w:rsidRPr="00D207BE" w:rsidTr="00EB372E"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207405" w:rsidRDefault="00207405" w:rsidP="00EB3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Χημικός Μηχανικός –</w:t>
            </w:r>
            <w:r w:rsidRPr="00D20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Συνεργάτης Ερευνητής ΙΔΕΠ/ΕΚΕΤΑ </w:t>
            </w:r>
          </w:p>
          <w:p w:rsidR="00207405" w:rsidRPr="00664D11" w:rsidRDefault="00207405" w:rsidP="00EB372E">
            <w:pPr>
              <w:rPr>
                <w:sz w:val="20"/>
                <w:szCs w:val="20"/>
              </w:rPr>
            </w:pPr>
            <w:r w:rsidRPr="00664D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Εργαστήριο Περιβαλλοντικών Καυσίμων &amp; Υδρογονανθράκων)</w:t>
            </w:r>
          </w:p>
        </w:tc>
      </w:tr>
      <w:tr w:rsidR="00207405" w:rsidRPr="00553F8A" w:rsidTr="00EB372E"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207405" w:rsidRPr="00553F8A" w:rsidRDefault="00207405" w:rsidP="00EB372E">
            <w:pPr>
              <w:jc w:val="both"/>
              <w:rPr>
                <w:sz w:val="20"/>
                <w:szCs w:val="20"/>
              </w:rPr>
            </w:pPr>
            <w:r w:rsidRPr="00553F8A">
              <w:rPr>
                <w:sz w:val="20"/>
                <w:szCs w:val="20"/>
              </w:rPr>
              <w:t xml:space="preserve">Ο Δρ. Δημήτρης Κ. </w:t>
            </w:r>
            <w:proofErr w:type="spellStart"/>
            <w:r w:rsidRPr="00553F8A">
              <w:rPr>
                <w:sz w:val="20"/>
                <w:szCs w:val="20"/>
              </w:rPr>
              <w:t>Ιψάκης</w:t>
            </w:r>
            <w:proofErr w:type="spellEnd"/>
            <w:r w:rsidRPr="00553F8A">
              <w:rPr>
                <w:sz w:val="20"/>
                <w:szCs w:val="20"/>
              </w:rPr>
              <w:t xml:space="preserve"> έλαβε το δίπλωμα του Χημικού Μηχανικού από το Αριστοτέλειο Πανεπιστήμιο Θεσσαλονίκης (ΑΠΘ) το 2005. Στην συνέχεια, εκπόνησε την διατριβή του  στ</w:t>
            </w:r>
            <w:r>
              <w:rPr>
                <w:sz w:val="20"/>
                <w:szCs w:val="20"/>
              </w:rPr>
              <w:t xml:space="preserve">ον τομέα της μελέτης καινοτόμων ενεργειακών συστημάτων </w:t>
            </w:r>
            <w:r w:rsidRPr="00553F8A">
              <w:rPr>
                <w:sz w:val="20"/>
                <w:szCs w:val="20"/>
              </w:rPr>
              <w:t xml:space="preserve">όπου και αναγορεύτηκε διδάκτορας από το </w:t>
            </w:r>
            <w:r>
              <w:rPr>
                <w:sz w:val="20"/>
                <w:szCs w:val="20"/>
              </w:rPr>
              <w:t xml:space="preserve">ίδιο </w:t>
            </w:r>
            <w:r w:rsidRPr="00553F8A">
              <w:rPr>
                <w:sz w:val="20"/>
                <w:szCs w:val="20"/>
              </w:rPr>
              <w:t>Τμήμα</w:t>
            </w:r>
            <w:r>
              <w:rPr>
                <w:sz w:val="20"/>
                <w:szCs w:val="20"/>
              </w:rPr>
              <w:t xml:space="preserve"> </w:t>
            </w:r>
            <w:r w:rsidRPr="00553F8A">
              <w:rPr>
                <w:sz w:val="20"/>
                <w:szCs w:val="20"/>
              </w:rPr>
              <w:t>τον Μάρτιο του 2011. Το 2013, έλαβε μεταπτυχιακό τίτλο σπουδών στην Θεωρητική Πληροφορική και Θεωρία Συστημάτων &amp; Ελέγχου από το Τμήμα Μαθηματικών</w:t>
            </w:r>
            <w:r>
              <w:rPr>
                <w:sz w:val="20"/>
                <w:szCs w:val="20"/>
              </w:rPr>
              <w:t xml:space="preserve">, </w:t>
            </w:r>
            <w:r w:rsidRPr="00553F8A">
              <w:rPr>
                <w:sz w:val="20"/>
                <w:szCs w:val="20"/>
              </w:rPr>
              <w:t xml:space="preserve">ΑΠΘ. Από τον Ιούλιο του 2006 εργάζεται ως βοηθός ερευνητής (2006-2011) και ως </w:t>
            </w:r>
            <w:r>
              <w:rPr>
                <w:sz w:val="20"/>
                <w:szCs w:val="20"/>
              </w:rPr>
              <w:t>Συνεργάτης</w:t>
            </w:r>
            <w:r w:rsidRPr="00553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</w:t>
            </w:r>
            <w:r w:rsidRPr="00553F8A">
              <w:rPr>
                <w:sz w:val="20"/>
                <w:szCs w:val="20"/>
              </w:rPr>
              <w:t>ρευνητής (2011-</w:t>
            </w:r>
            <w:r>
              <w:rPr>
                <w:sz w:val="20"/>
                <w:szCs w:val="20"/>
              </w:rPr>
              <w:t>2013, 2016-</w:t>
            </w:r>
            <w:r w:rsidRPr="00553F8A">
              <w:rPr>
                <w:sz w:val="20"/>
                <w:szCs w:val="20"/>
              </w:rPr>
              <w:t>παρόν) στο Ινστιτούτο Διεργασιών &amp; Ενεργειακών Πόρων του Εθνικού Κέντρου Έρευνας και Τεχνολογικής</w:t>
            </w:r>
            <w:r>
              <w:rPr>
                <w:sz w:val="20"/>
                <w:szCs w:val="20"/>
              </w:rPr>
              <w:t xml:space="preserve"> Ανάπτυξης</w:t>
            </w:r>
            <w:r w:rsidRPr="00553F8A">
              <w:rPr>
                <w:sz w:val="20"/>
                <w:szCs w:val="20"/>
              </w:rPr>
              <w:t xml:space="preserve"> αλλά και στο Τμήμα Χημικών Μηχανικών, ΑΠΘ</w:t>
            </w:r>
            <w:r>
              <w:rPr>
                <w:sz w:val="20"/>
                <w:szCs w:val="20"/>
              </w:rPr>
              <w:t xml:space="preserve"> (2014-2016)</w:t>
            </w:r>
            <w:r w:rsidRPr="00553F8A">
              <w:rPr>
                <w:sz w:val="20"/>
                <w:szCs w:val="20"/>
              </w:rPr>
              <w:t xml:space="preserve">. </w:t>
            </w:r>
            <w:r w:rsidRPr="00D71475">
              <w:rPr>
                <w:sz w:val="20"/>
                <w:szCs w:val="20"/>
              </w:rPr>
              <w:t xml:space="preserve">Οι </w:t>
            </w:r>
            <w:r>
              <w:rPr>
                <w:sz w:val="20"/>
                <w:szCs w:val="20"/>
              </w:rPr>
              <w:t xml:space="preserve">επιστημονικές του αρμοδιότητες, συνοψίζονται </w:t>
            </w:r>
            <w:r w:rsidRPr="00D71475">
              <w:rPr>
                <w:sz w:val="20"/>
                <w:szCs w:val="20"/>
              </w:rPr>
              <w:t>α) στη μοντελοποίηση και προσομοίωση ολοκληρωμένων συστημάτων διεργασιών παραγωγής ενέργειας, καυσίμων και χημικών υψηλής προστιθέμενης αξίας</w:t>
            </w:r>
            <w:r>
              <w:rPr>
                <w:sz w:val="20"/>
                <w:szCs w:val="20"/>
              </w:rPr>
              <w:t>,</w:t>
            </w:r>
            <w:r w:rsidRPr="00D71475">
              <w:rPr>
                <w:sz w:val="20"/>
                <w:szCs w:val="20"/>
              </w:rPr>
              <w:t xml:space="preserve"> β) στην ανάπτυξη, στον σχεδιασμό και </w:t>
            </w:r>
            <w:r>
              <w:rPr>
                <w:sz w:val="20"/>
                <w:szCs w:val="20"/>
              </w:rPr>
              <w:t>έλεγχο συστημάτων, γ) στην βελτίωση</w:t>
            </w:r>
            <w:r w:rsidRPr="00D71475">
              <w:rPr>
                <w:sz w:val="20"/>
                <w:szCs w:val="20"/>
              </w:rPr>
              <w:t xml:space="preserve"> και τεχνοοικονομική ανάλυση διεργασιών και δ) στην κινητική αντιδράσεων.</w:t>
            </w:r>
            <w:r w:rsidRPr="00553F8A">
              <w:rPr>
                <w:sz w:val="20"/>
                <w:szCs w:val="20"/>
              </w:rPr>
              <w:t xml:space="preserve"> </w:t>
            </w:r>
            <w:proofErr w:type="spellStart"/>
            <w:r w:rsidRPr="00553F8A">
              <w:rPr>
                <w:sz w:val="20"/>
                <w:szCs w:val="20"/>
              </w:rPr>
              <w:t>Καθόλη</w:t>
            </w:r>
            <w:proofErr w:type="spellEnd"/>
            <w:r w:rsidRPr="00553F8A">
              <w:rPr>
                <w:sz w:val="20"/>
                <w:szCs w:val="20"/>
              </w:rPr>
              <w:t xml:space="preserve"> την ερευνητική και ακαδημαϊκή του πορεία έχει συγγράψει και επιμεληθεί </w:t>
            </w:r>
            <w:r>
              <w:rPr>
                <w:sz w:val="20"/>
                <w:szCs w:val="20"/>
              </w:rPr>
              <w:t>21</w:t>
            </w:r>
            <w:r w:rsidRPr="00553F8A">
              <w:rPr>
                <w:sz w:val="20"/>
                <w:szCs w:val="20"/>
              </w:rPr>
              <w:t xml:space="preserve"> ερευνητικές εργασίες σε διεθνή έγκυρα επιστημονικά περιοδικά, περισσότερες από </w:t>
            </w:r>
            <w:r>
              <w:rPr>
                <w:sz w:val="20"/>
                <w:szCs w:val="20"/>
              </w:rPr>
              <w:t>6</w:t>
            </w:r>
            <w:r w:rsidRPr="00553F8A">
              <w:rPr>
                <w:sz w:val="20"/>
                <w:szCs w:val="20"/>
              </w:rPr>
              <w:t xml:space="preserve">5 ερευνητικές εργασίες σε πρακτικά συνεδρίων καθώς και 1 βιβλίο και 1 κεφάλαιο σε βιβλίο με κριτές. Το παραπάνω έργο, έχει λάβει περισσότερες των </w:t>
            </w:r>
            <w:r>
              <w:rPr>
                <w:sz w:val="20"/>
                <w:szCs w:val="20"/>
              </w:rPr>
              <w:t>84</w:t>
            </w:r>
            <w:r w:rsidRPr="00553F8A">
              <w:rPr>
                <w:sz w:val="20"/>
                <w:szCs w:val="20"/>
              </w:rPr>
              <w:t xml:space="preserve">0 </w:t>
            </w:r>
            <w:proofErr w:type="spellStart"/>
            <w:r w:rsidRPr="00553F8A">
              <w:rPr>
                <w:sz w:val="20"/>
                <w:szCs w:val="20"/>
              </w:rPr>
              <w:t>ετεροαναφορών</w:t>
            </w:r>
            <w:proofErr w:type="spellEnd"/>
            <w:r w:rsidRPr="00553F8A">
              <w:rPr>
                <w:sz w:val="20"/>
                <w:szCs w:val="20"/>
              </w:rPr>
              <w:t xml:space="preserve"> (2006-201</w:t>
            </w:r>
            <w:r>
              <w:rPr>
                <w:sz w:val="20"/>
                <w:szCs w:val="20"/>
              </w:rPr>
              <w:t>8</w:t>
            </w:r>
            <w:r w:rsidRPr="00553F8A">
              <w:rPr>
                <w:sz w:val="20"/>
                <w:szCs w:val="20"/>
              </w:rPr>
              <w:t xml:space="preserve">) λαμβάνοντας δείκτη </w:t>
            </w:r>
            <w:r w:rsidRPr="00553F8A">
              <w:rPr>
                <w:sz w:val="20"/>
                <w:szCs w:val="20"/>
                <w:lang w:val="en-US"/>
              </w:rPr>
              <w:t>h</w:t>
            </w:r>
            <w:r w:rsidRPr="00553F8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</w:t>
            </w:r>
            <w:r w:rsidRPr="00553F8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Scholar</w:t>
            </w:r>
            <w:r w:rsidRPr="00553F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Σεπτέμβριος</w:t>
            </w:r>
            <w:r w:rsidRPr="00553F8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553F8A">
              <w:rPr>
                <w:sz w:val="20"/>
                <w:szCs w:val="20"/>
              </w:rPr>
              <w:t>).</w:t>
            </w:r>
          </w:p>
        </w:tc>
      </w:tr>
      <w:tr w:rsidR="00207405" w:rsidRPr="00753104" w:rsidTr="00EB372E"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207405" w:rsidRPr="002F4118" w:rsidRDefault="00207405" w:rsidP="00EB372E">
            <w:pPr>
              <w:pStyle w:val="a5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D</w:t>
            </w:r>
            <w:r w:rsidRPr="00D71475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Ipsakis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</w:t>
            </w:r>
            <w:proofErr w:type="spellEnd"/>
            <w:r w:rsidRPr="00D714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Kraia, 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Konsolakis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Marnellos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“Remediation of Black Sea ecosystem and H2 generation via H2S/H2O co-electrolysis in a proton-conducting reactor: A techno-economic feasibility assessment”, Renewable Energ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y, Vol. 125, 2018, pp.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806-818</w:t>
            </w:r>
          </w:p>
          <w:p w:rsidR="00207405" w:rsidRPr="002F4118" w:rsidRDefault="00207405" w:rsidP="00EB372E">
            <w:pPr>
              <w:pStyle w:val="a5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Ipsakis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Ouzounidou,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Papadopoulou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Seferlis,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Voutetakis, “Dynamic Modeling and Control Analysis of a Methanol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Autothermal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Reforming and PEM Fuel Cell Power System”, Applied Energy, Vol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208, 2017,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pp.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703-718</w:t>
            </w:r>
          </w:p>
          <w:p w:rsidR="00207405" w:rsidRPr="002F4118" w:rsidRDefault="00207405" w:rsidP="00EB372E">
            <w:pPr>
              <w:pStyle w:val="a5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Ipsakis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Heracleous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Silvester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Bukur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A. Lemonidou, “Reduction and Oxidation Modeling of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NiO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-based Oxygen Transfer Materials”, Chemical Engineering Journal, Volume 308, 2017,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pp.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840-852</w:t>
            </w:r>
          </w:p>
          <w:p w:rsidR="00207405" w:rsidRPr="002F4118" w:rsidRDefault="00207405" w:rsidP="00EB372E">
            <w:pPr>
              <w:pStyle w:val="a5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Kyriakides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Rodrıguez-Garcıa,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Voutetakis,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Ipsakis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Seferlis,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Papadopoulou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“Enhancement of pure hydrogen production through the use of a membrane reactor”, International Journal of Hydrogen Energy, Vol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39, 2014,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pp.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4749-4760</w:t>
            </w:r>
          </w:p>
          <w:p w:rsidR="00207405" w:rsidRPr="002F4118" w:rsidRDefault="00207405" w:rsidP="00EB372E">
            <w:pPr>
              <w:pStyle w:val="a5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Ziogou,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Ipsakis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Seferlis,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Bezergianni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Papadopoulou</w:t>
            </w:r>
            <w:proofErr w:type="spellEnd"/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Voutetakis, “Optimal Production of Renewable Hydrogen based on an Efficient Energy Management Strategy”, Energy, Vol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. 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55,  2013,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pp.</w:t>
            </w:r>
            <w:r w:rsidRPr="002F411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58-67</w:t>
            </w:r>
          </w:p>
        </w:tc>
      </w:tr>
      <w:tr w:rsidR="00207405" w:rsidRPr="00D207BE" w:rsidTr="00EB372E"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207405" w:rsidRPr="00F30AEB" w:rsidRDefault="00207405" w:rsidP="00EB372E">
            <w:pPr>
              <w:pStyle w:val="a5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“Ερευνητική Συνέργεια για την Αντιμετώπιση των Μεγάλων Προκλήσεων του Πλέγματος (</w:t>
            </w: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NEXUS</w:t>
            </w: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): Ενέργεια-Περιβάλλον-Αγροτική Παραγωγή (Τροφή, Νερό, Υλικά) (</w:t>
            </w: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NEXUS</w:t>
            </w: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)-(02/2018-03/2018)” Ανταγωνιστικότητα, επιχειρηματικότητα και καινοτομία (ΕΣΠΑ 2014-2020) «ΔΡΑΣΗ ΣΤΡΑΤΗΓΙΚΗΣ ΑΝΑΠΤΥΞΗΣ ΕΡΕΥΝΗΤΙΚΩΝ ΚΑΙ ΤΕΧΝΟΛΟΓΙΚΩΝ ΦΟΡΕΩΝ» - Φορέας Υλοποίησης ΕΚΕΤΑ/ΙΔΕΠ</w:t>
            </w:r>
          </w:p>
          <w:p w:rsidR="00207405" w:rsidRPr="00F30AEB" w:rsidRDefault="00207405" w:rsidP="00EB372E">
            <w:pPr>
              <w:pStyle w:val="a5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“Cascade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Deoxygenation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Process Using Tailored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Nanocatalysts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for the Production of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Biofuels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from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Lignocellulosic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Biomass (11/2013-10/2017)”, FP7-NMP-2013-LARGE-75-420-2-166 -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Φορέας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Υλοποίησης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ΕΚΕΤΑ/ΙΔΕΠ.</w:t>
            </w:r>
          </w:p>
          <w:p w:rsidR="00207405" w:rsidRPr="00F30AEB" w:rsidRDefault="00207405" w:rsidP="00EB372E">
            <w:pPr>
              <w:pStyle w:val="a5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Εντατικοποίηση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Αναμόρφωσης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Μεθανίου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Μέσω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Συνδυασμένης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Χημικής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Διεργασίας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Δέσμευσης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Άνθρακα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(10/2012-10/2015)” NPRP 5-420-2-166: Funding provided by Qatar National Research Fund” (En: Title: Intensifying Methane Reforming by Combining Carbonate and Chemical Looping) -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Φορέας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Υλοποίησης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Τμήμα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Χημικών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Μηχανικών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ΑΠΘ/Texas A&amp;M University at Qatar. </w:t>
            </w:r>
          </w:p>
          <w:p w:rsidR="00207405" w:rsidRPr="00F30AEB" w:rsidRDefault="00207405" w:rsidP="00EB372E">
            <w:pPr>
              <w:pStyle w:val="a5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“Ολοκληρωμένες Περιβαλλοντικές Μεθοδολογίες για τη Μείωση του Κόστους Παραγωγής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Βιοντήζελ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με την Αξιοποίηση της Παραγόμενης Γλυκερίνης (2/2012-2/2015)” ΠΡΑΞΗ Ι: Συνεργατικά Έργα Μικρής και Μεσαίας Κλίμακας, ΕΣΠΑ 2007-2013 «ΣΥΝΕΡΓΑΣΙΑ» - Φορέας Υλοποίησης ΕΚΕΤΑ/ΙΔΕΠ.</w:t>
            </w:r>
          </w:p>
        </w:tc>
      </w:tr>
      <w:tr w:rsidR="00207405" w:rsidRPr="00804515" w:rsidTr="00207405">
        <w:trPr>
          <w:trHeight w:val="271"/>
        </w:trPr>
        <w:tc>
          <w:tcPr>
            <w:tcW w:w="1980" w:type="dxa"/>
          </w:tcPr>
          <w:p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</w:tcPr>
          <w:p w:rsidR="00207405" w:rsidRDefault="00207405" w:rsidP="00EB372E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04515">
              <w:rPr>
                <w:sz w:val="20"/>
                <w:szCs w:val="20"/>
              </w:rPr>
              <w:t xml:space="preserve">Υποτροφία Αριστείας για Μεταδιδακτορική Έρευνα του </w:t>
            </w:r>
            <w:r>
              <w:rPr>
                <w:sz w:val="20"/>
                <w:szCs w:val="20"/>
              </w:rPr>
              <w:t xml:space="preserve">ΑΠΘ (2012) </w:t>
            </w:r>
            <w:r w:rsidRPr="00804515">
              <w:rPr>
                <w:sz w:val="20"/>
                <w:szCs w:val="20"/>
              </w:rPr>
              <w:t xml:space="preserve"> </w:t>
            </w:r>
          </w:p>
          <w:p w:rsidR="00207405" w:rsidRPr="00804515" w:rsidRDefault="00207405" w:rsidP="00EB372E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sz w:val="20"/>
                <w:szCs w:val="20"/>
              </w:rPr>
            </w:pPr>
            <w:bookmarkStart w:id="0" w:name="_GoBack"/>
            <w:r w:rsidRPr="00804515">
              <w:rPr>
                <w:sz w:val="20"/>
                <w:szCs w:val="20"/>
              </w:rPr>
              <w:t xml:space="preserve">Προπτυχιακές Υποτροφίες από ΙΚΥ και ΤΕΕ (2000-2001, 2002-2003)  </w:t>
            </w:r>
            <w:bookmarkEnd w:id="0"/>
          </w:p>
        </w:tc>
      </w:tr>
    </w:tbl>
    <w:p w:rsidR="00172071" w:rsidRPr="00207405" w:rsidRDefault="00172071" w:rsidP="00207405">
      <w:pPr>
        <w:rPr>
          <w:b/>
        </w:rPr>
      </w:pPr>
    </w:p>
    <w:sectPr w:rsidR="00172071" w:rsidRPr="00207405" w:rsidSect="0075310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E4D37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A7308"/>
    <w:multiLevelType w:val="hybridMultilevel"/>
    <w:tmpl w:val="B3009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7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2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7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165E6"/>
    <w:multiLevelType w:val="hybridMultilevel"/>
    <w:tmpl w:val="D2A8F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"/>
  </w:num>
  <w:num w:numId="3">
    <w:abstractNumId w:val="18"/>
  </w:num>
  <w:num w:numId="4">
    <w:abstractNumId w:val="57"/>
  </w:num>
  <w:num w:numId="5">
    <w:abstractNumId w:val="26"/>
  </w:num>
  <w:num w:numId="6">
    <w:abstractNumId w:val="35"/>
  </w:num>
  <w:num w:numId="7">
    <w:abstractNumId w:val="31"/>
  </w:num>
  <w:num w:numId="8">
    <w:abstractNumId w:val="28"/>
  </w:num>
  <w:num w:numId="9">
    <w:abstractNumId w:val="1"/>
  </w:num>
  <w:num w:numId="10">
    <w:abstractNumId w:val="6"/>
  </w:num>
  <w:num w:numId="11">
    <w:abstractNumId w:val="40"/>
  </w:num>
  <w:num w:numId="12">
    <w:abstractNumId w:val="32"/>
  </w:num>
  <w:num w:numId="13">
    <w:abstractNumId w:val="34"/>
  </w:num>
  <w:num w:numId="14">
    <w:abstractNumId w:val="25"/>
  </w:num>
  <w:num w:numId="15">
    <w:abstractNumId w:val="13"/>
  </w:num>
  <w:num w:numId="16">
    <w:abstractNumId w:val="36"/>
  </w:num>
  <w:num w:numId="17">
    <w:abstractNumId w:val="33"/>
  </w:num>
  <w:num w:numId="18">
    <w:abstractNumId w:val="19"/>
  </w:num>
  <w:num w:numId="19">
    <w:abstractNumId w:val="22"/>
  </w:num>
  <w:num w:numId="20">
    <w:abstractNumId w:val="54"/>
  </w:num>
  <w:num w:numId="21">
    <w:abstractNumId w:val="30"/>
  </w:num>
  <w:num w:numId="22">
    <w:abstractNumId w:val="41"/>
  </w:num>
  <w:num w:numId="23">
    <w:abstractNumId w:val="42"/>
  </w:num>
  <w:num w:numId="24">
    <w:abstractNumId w:val="11"/>
  </w:num>
  <w:num w:numId="25">
    <w:abstractNumId w:val="50"/>
  </w:num>
  <w:num w:numId="26">
    <w:abstractNumId w:val="14"/>
  </w:num>
  <w:num w:numId="27">
    <w:abstractNumId w:val="52"/>
  </w:num>
  <w:num w:numId="28">
    <w:abstractNumId w:val="45"/>
  </w:num>
  <w:num w:numId="29">
    <w:abstractNumId w:val="37"/>
  </w:num>
  <w:num w:numId="30">
    <w:abstractNumId w:val="49"/>
  </w:num>
  <w:num w:numId="31">
    <w:abstractNumId w:val="12"/>
  </w:num>
  <w:num w:numId="32">
    <w:abstractNumId w:val="3"/>
  </w:num>
  <w:num w:numId="33">
    <w:abstractNumId w:val="62"/>
  </w:num>
  <w:num w:numId="34">
    <w:abstractNumId w:val="7"/>
  </w:num>
  <w:num w:numId="35">
    <w:abstractNumId w:val="55"/>
  </w:num>
  <w:num w:numId="36">
    <w:abstractNumId w:val="27"/>
  </w:num>
  <w:num w:numId="37">
    <w:abstractNumId w:val="5"/>
  </w:num>
  <w:num w:numId="38">
    <w:abstractNumId w:val="43"/>
  </w:num>
  <w:num w:numId="39">
    <w:abstractNumId w:val="58"/>
  </w:num>
  <w:num w:numId="40">
    <w:abstractNumId w:val="10"/>
  </w:num>
  <w:num w:numId="41">
    <w:abstractNumId w:val="23"/>
  </w:num>
  <w:num w:numId="42">
    <w:abstractNumId w:val="17"/>
  </w:num>
  <w:num w:numId="43">
    <w:abstractNumId w:val="59"/>
  </w:num>
  <w:num w:numId="44">
    <w:abstractNumId w:val="21"/>
  </w:num>
  <w:num w:numId="45">
    <w:abstractNumId w:val="46"/>
  </w:num>
  <w:num w:numId="46">
    <w:abstractNumId w:val="0"/>
  </w:num>
  <w:num w:numId="47">
    <w:abstractNumId w:val="16"/>
  </w:num>
  <w:num w:numId="48">
    <w:abstractNumId w:val="38"/>
  </w:num>
  <w:num w:numId="49">
    <w:abstractNumId w:val="39"/>
  </w:num>
  <w:num w:numId="50">
    <w:abstractNumId w:val="48"/>
  </w:num>
  <w:num w:numId="51">
    <w:abstractNumId w:val="47"/>
  </w:num>
  <w:num w:numId="52">
    <w:abstractNumId w:val="61"/>
  </w:num>
  <w:num w:numId="53">
    <w:abstractNumId w:val="53"/>
  </w:num>
  <w:num w:numId="54">
    <w:abstractNumId w:val="15"/>
  </w:num>
  <w:num w:numId="55">
    <w:abstractNumId w:val="9"/>
  </w:num>
  <w:num w:numId="56">
    <w:abstractNumId w:val="29"/>
  </w:num>
  <w:num w:numId="57">
    <w:abstractNumId w:val="44"/>
  </w:num>
  <w:num w:numId="58">
    <w:abstractNumId w:val="8"/>
  </w:num>
  <w:num w:numId="59">
    <w:abstractNumId w:val="60"/>
  </w:num>
  <w:num w:numId="60">
    <w:abstractNumId w:val="2"/>
  </w:num>
  <w:num w:numId="61">
    <w:abstractNumId w:val="56"/>
  </w:num>
  <w:num w:numId="62">
    <w:abstractNumId w:val="24"/>
  </w:num>
  <w:num w:numId="63">
    <w:abstractNumId w:val="2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61C4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405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54D"/>
    <w:rsid w:val="002F3790"/>
    <w:rsid w:val="002F4118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19E3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378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3F8A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64E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B6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25D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17B48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4D11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10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515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27E27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6D3B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580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0EAF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475"/>
    <w:rsid w:val="00D718F6"/>
    <w:rsid w:val="00D73B31"/>
    <w:rsid w:val="00D73D84"/>
    <w:rsid w:val="00D73F63"/>
    <w:rsid w:val="00D74409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5D2F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AEB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8F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03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a0"/>
    <w:rsid w:val="00C8204A"/>
  </w:style>
  <w:style w:type="character" w:customStyle="1" w:styleId="hit">
    <w:name w:val="hit"/>
    <w:basedOn w:val="a0"/>
    <w:rsid w:val="00C8204A"/>
  </w:style>
  <w:style w:type="character" w:customStyle="1" w:styleId="A10">
    <w:name w:val="A1"/>
    <w:uiPriority w:val="99"/>
    <w:rsid w:val="00C8204A"/>
    <w:rPr>
      <w:color w:val="000000"/>
    </w:rPr>
  </w:style>
  <w:style w:type="character" w:styleId="-">
    <w:name w:val="Hyperlink"/>
    <w:basedOn w:val="a0"/>
    <w:uiPriority w:val="99"/>
    <w:unhideWhenUsed/>
    <w:rsid w:val="00C8204A"/>
    <w:rPr>
      <w:color w:val="0000FF" w:themeColor="hyperlink"/>
      <w:u w:val="single"/>
    </w:rPr>
  </w:style>
  <w:style w:type="paragraph" w:styleId="a7">
    <w:name w:val="Body Text"/>
    <w:basedOn w:val="a"/>
    <w:link w:val="Char1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7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E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DefaultParagraphFont"/>
    <w:rsid w:val="00C8204A"/>
  </w:style>
  <w:style w:type="character" w:customStyle="1" w:styleId="hit">
    <w:name w:val="hit"/>
    <w:basedOn w:val="DefaultParagraphFont"/>
    <w:rsid w:val="00C8204A"/>
  </w:style>
  <w:style w:type="character" w:customStyle="1" w:styleId="A1">
    <w:name w:val="A1"/>
    <w:uiPriority w:val="99"/>
    <w:rsid w:val="00C8204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820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kosmitiaps</cp:lastModifiedBy>
  <cp:revision>20</cp:revision>
  <dcterms:created xsi:type="dcterms:W3CDTF">2018-10-10T11:31:00Z</dcterms:created>
  <dcterms:modified xsi:type="dcterms:W3CDTF">2018-10-16T11:08:00Z</dcterms:modified>
</cp:coreProperties>
</file>